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4335" w:rsidRPr="0007239E" w:rsidRDefault="0007239E" w:rsidP="0007239E">
      <w:pPr>
        <w:spacing w:after="0" w:line="240" w:lineRule="auto"/>
        <w:ind w:firstLine="709"/>
        <w:jc w:val="both"/>
        <w:rPr>
          <w:rFonts w:ascii="Times New Roman" w:hAnsi="Times New Roman" w:cs="Times New Roman"/>
          <w:b/>
          <w:sz w:val="28"/>
          <w:szCs w:val="28"/>
        </w:rPr>
      </w:pPr>
      <w:bookmarkStart w:id="0" w:name="_GoBack"/>
      <w:r w:rsidRPr="0007239E">
        <w:rPr>
          <w:rFonts w:ascii="Times New Roman" w:hAnsi="Times New Roman" w:cs="Times New Roman"/>
          <w:b/>
          <w:sz w:val="28"/>
          <w:szCs w:val="28"/>
        </w:rPr>
        <w:t>Лекция 5. Выбор способа разработки месторождения.</w:t>
      </w:r>
    </w:p>
    <w:bookmarkEnd w:id="0"/>
    <w:p w:rsidR="0007239E" w:rsidRDefault="0007239E" w:rsidP="0007239E">
      <w:pPr>
        <w:spacing w:after="0" w:line="240" w:lineRule="auto"/>
        <w:ind w:firstLine="709"/>
        <w:jc w:val="both"/>
        <w:rPr>
          <w:rFonts w:ascii="Times New Roman" w:hAnsi="Times New Roman" w:cs="Times New Roman"/>
          <w:sz w:val="28"/>
          <w:szCs w:val="28"/>
        </w:rPr>
      </w:pP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Промышленное освоение любого месторождения требует решения целого ряда технико-экономических вопросов, среди которых первым является вопрос выбора способа разработки месторождения.</w:t>
      </w:r>
    </w:p>
    <w:p w:rsidR="0007239E"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Существуют подземный, открытый и комбинированный способы разработки месторождений твердых полезных ископаемых. Применение того или иного способа разработки зависит исключительно от геологических условий залегания месторождения. Во многих случаях освоения месторождений полезных ископаемых при выборе способа их разработки не требуется специальное обоснование. Так, например, глубокозалегающие месторождения разрабатываются подземным способом, целесообразность которого в таких условиях бесспорна и, наоборот, неглубоко залегающие месторождения разрабатываются открытым способом.</w:t>
      </w:r>
    </w:p>
    <w:p w:rsidR="0007239E"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 xml:space="preserve">Мощные крутопадающие и глубоко залегающие месторождения, покрытые небольшим слоем наносов, </w:t>
      </w:r>
      <w:r w:rsidRPr="0039381F">
        <w:rPr>
          <w:rFonts w:ascii="Times New Roman" w:eastAsia="Times New Roman" w:hAnsi="Times New Roman" w:cs="Times New Roman"/>
          <w:bCs/>
          <w:sz w:val="28"/>
          <w:szCs w:val="28"/>
          <w:lang w:eastAsia="ru-RU"/>
        </w:rPr>
        <w:t>а также горизонтальные и пологие залежи, покрытые небольшой толщей наносов в долине и мошно</w:t>
      </w:r>
      <w:r>
        <w:rPr>
          <w:rFonts w:ascii="Times New Roman" w:eastAsia="Times New Roman" w:hAnsi="Times New Roman" w:cs="Times New Roman"/>
          <w:bCs/>
          <w:sz w:val="28"/>
          <w:szCs w:val="28"/>
          <w:lang w:eastAsia="ru-RU"/>
        </w:rPr>
        <w:t xml:space="preserve">й толщей пород в нагорной части </w:t>
      </w:r>
      <w:r w:rsidRPr="00F67ADB">
        <w:rPr>
          <w:rFonts w:ascii="Times New Roman" w:eastAsia="Times New Roman" w:hAnsi="Times New Roman" w:cs="Times New Roman"/>
          <w:bCs/>
          <w:sz w:val="28"/>
          <w:szCs w:val="28"/>
          <w:lang w:eastAsia="ru-RU"/>
        </w:rPr>
        <w:t xml:space="preserve">разрабатываются комбинированным способом, т.е. верхняя часть месторождения разрабатывается открытым способом, а нижняя – подземным способом. </w:t>
      </w:r>
    </w:p>
    <w:p w:rsidR="0007239E" w:rsidRPr="0039381F"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39381F">
        <w:rPr>
          <w:rFonts w:ascii="Times New Roman" w:eastAsia="Times New Roman" w:hAnsi="Times New Roman" w:cs="Times New Roman"/>
          <w:bCs/>
          <w:sz w:val="28"/>
          <w:szCs w:val="28"/>
          <w:lang w:eastAsia="ru-RU"/>
        </w:rPr>
        <w:t>Вопрос о разграничении способов разработки является существенным только при возможности комбинированной разработки.</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Как в этом, так и в другом случаях необходимо установить предельную глубину открытой разработки, для определения которой рекомендуются следующие формулы:</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i/>
          <w:iCs/>
          <w:sz w:val="28"/>
          <w:szCs w:val="28"/>
          <w:lang w:eastAsia="ru-RU"/>
        </w:rPr>
      </w:pPr>
      <w:r w:rsidRPr="00F67ADB">
        <w:rPr>
          <w:rFonts w:ascii="Times New Roman" w:eastAsia="Times New Roman" w:hAnsi="Times New Roman" w:cs="Times New Roman"/>
          <w:i/>
          <w:iCs/>
          <w:sz w:val="28"/>
          <w:szCs w:val="28"/>
          <w:lang w:eastAsia="ru-RU"/>
        </w:rPr>
        <w:t>Формула Б.П. Боголюбова</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i/>
          <w:iCs/>
          <w:sz w:val="28"/>
          <w:szCs w:val="28"/>
          <w:lang w:eastAsia="ru-RU"/>
        </w:rPr>
      </w:pPr>
      <w:r>
        <w:rPr>
          <w:rFonts w:ascii="Arial" w:eastAsia="Times New Roman" w:hAnsi="Arial" w:cs="Arial"/>
          <w:sz w:val="20"/>
          <w:szCs w:val="20"/>
          <w:lang w:eastAsia="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33.85pt;margin-top:9.8pt;width:91pt;height:38pt;z-index:251658240">
            <v:imagedata r:id="rId4" o:title=""/>
          </v:shape>
          <o:OLEObject Type="Embed" ProgID="Equation.3" ShapeID="_x0000_s1026" DrawAspect="Content" ObjectID="_1641987804" r:id="rId5"/>
        </w:object>
      </w:r>
    </w:p>
    <w:p w:rsidR="0007239E" w:rsidRPr="00F67ADB" w:rsidRDefault="0007239E" w:rsidP="0007239E">
      <w:pPr>
        <w:widowControl w:val="0"/>
        <w:autoSpaceDE w:val="0"/>
        <w:autoSpaceDN w:val="0"/>
        <w:adjustRightInd w:val="0"/>
        <w:spacing w:after="0" w:line="240" w:lineRule="auto"/>
        <w:ind w:firstLine="709"/>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(3.1)</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07239E" w:rsidRPr="00F67ADB" w:rsidRDefault="0007239E" w:rsidP="0007239E">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где х – предельная глубина открытой разработки от верхней отметки рудного тела под наносами, м;</w:t>
      </w:r>
    </w:p>
    <w:p w:rsidR="0007239E" w:rsidRPr="00F67ADB" w:rsidRDefault="0007239E" w:rsidP="0007239E">
      <w:pPr>
        <w:widowControl w:val="0"/>
        <w:tabs>
          <w:tab w:val="left" w:pos="2820"/>
        </w:tabs>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К</w:t>
      </w:r>
      <w:r w:rsidRPr="00F67ADB">
        <w:rPr>
          <w:rFonts w:ascii="Times New Roman" w:eastAsia="Times New Roman" w:hAnsi="Times New Roman" w:cs="Times New Roman"/>
          <w:bCs/>
          <w:sz w:val="28"/>
          <w:szCs w:val="28"/>
          <w:vertAlign w:val="subscript"/>
          <w:lang w:eastAsia="ru-RU"/>
        </w:rPr>
        <w:t>Г</w:t>
      </w:r>
      <w:r w:rsidRPr="00F67ADB">
        <w:rPr>
          <w:rFonts w:ascii="Times New Roman" w:eastAsia="Times New Roman" w:hAnsi="Times New Roman" w:cs="Times New Roman"/>
          <w:bCs/>
          <w:sz w:val="28"/>
          <w:szCs w:val="28"/>
          <w:lang w:eastAsia="ru-RU"/>
        </w:rPr>
        <w:t xml:space="preserve"> – геологический коэффициент вскрыши;                                </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Pr>
          <w:rFonts w:ascii="Arial" w:eastAsia="Times New Roman" w:hAnsi="Arial" w:cs="Arial"/>
          <w:sz w:val="20"/>
          <w:szCs w:val="20"/>
          <w:lang w:eastAsia="ru-RU"/>
        </w:rPr>
        <w:object w:dxaOrig="1440" w:dyaOrig="1440">
          <v:shape id="_x0000_s1027" type="#_x0000_t75" style="position:absolute;left:0;text-align:left;margin-left:115.6pt;margin-top:13.3pt;width:117.05pt;height:36pt;z-index:251658240">
            <v:imagedata r:id="rId6" o:title=""/>
          </v:shape>
          <o:OLEObject Type="Embed" ProgID="Equation.3" ShapeID="_x0000_s1027" DrawAspect="Content" ObjectID="_1641987805" r:id="rId7"/>
        </w:objec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К</w:t>
      </w:r>
      <w:r w:rsidRPr="00F67ADB">
        <w:rPr>
          <w:rFonts w:ascii="Times New Roman" w:eastAsia="Times New Roman" w:hAnsi="Times New Roman" w:cs="Times New Roman"/>
          <w:bCs/>
          <w:sz w:val="28"/>
          <w:szCs w:val="28"/>
          <w:vertAlign w:val="subscript"/>
          <w:lang w:eastAsia="ru-RU"/>
        </w:rPr>
        <w:t>и</w:t>
      </w:r>
      <w:r w:rsidRPr="00F67ADB">
        <w:rPr>
          <w:rFonts w:ascii="Times New Roman" w:eastAsia="Times New Roman" w:hAnsi="Times New Roman" w:cs="Times New Roman"/>
          <w:bCs/>
          <w:sz w:val="28"/>
          <w:szCs w:val="28"/>
          <w:lang w:eastAsia="ru-RU"/>
        </w:rPr>
        <w:t xml:space="preserve"> – коэффициент извлечения руды при открытых работах;</w:t>
      </w: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proofErr w:type="spellStart"/>
      <w:r w:rsidRPr="00F67ADB">
        <w:rPr>
          <w:rFonts w:ascii="Times New Roman" w:eastAsia="Times New Roman" w:hAnsi="Times New Roman" w:cs="Times New Roman"/>
          <w:bCs/>
          <w:sz w:val="28"/>
          <w:szCs w:val="28"/>
          <w:lang w:eastAsia="ru-RU"/>
        </w:rPr>
        <w:t>С</w:t>
      </w:r>
      <w:r w:rsidRPr="00F67ADB">
        <w:rPr>
          <w:rFonts w:ascii="Times New Roman" w:eastAsia="Times New Roman" w:hAnsi="Times New Roman" w:cs="Times New Roman"/>
          <w:bCs/>
          <w:sz w:val="28"/>
          <w:szCs w:val="28"/>
          <w:vertAlign w:val="subscript"/>
          <w:lang w:eastAsia="ru-RU"/>
        </w:rPr>
        <w:t>п</w:t>
      </w:r>
      <w:proofErr w:type="spellEnd"/>
      <w:r w:rsidRPr="00F67ADB">
        <w:rPr>
          <w:rFonts w:ascii="Times New Roman" w:eastAsia="Times New Roman" w:hAnsi="Times New Roman" w:cs="Times New Roman"/>
          <w:bCs/>
          <w:sz w:val="28"/>
          <w:szCs w:val="28"/>
          <w:lang w:eastAsia="ru-RU"/>
        </w:rPr>
        <w:t xml:space="preserve"> – себестоимость добычи полезного ископаемого подземным способом, тенге/т;</w:t>
      </w:r>
    </w:p>
    <w:p w:rsidR="0007239E"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С</w:t>
      </w:r>
      <w:r w:rsidRPr="00F67ADB">
        <w:rPr>
          <w:rFonts w:ascii="Times New Roman" w:eastAsia="Times New Roman" w:hAnsi="Times New Roman" w:cs="Times New Roman"/>
          <w:bCs/>
          <w:sz w:val="28"/>
          <w:szCs w:val="28"/>
          <w:vertAlign w:val="subscript"/>
          <w:lang w:eastAsia="ru-RU"/>
        </w:rPr>
        <w:t>о</w:t>
      </w:r>
      <w:r w:rsidRPr="00F67ADB">
        <w:rPr>
          <w:rFonts w:ascii="Times New Roman" w:eastAsia="Times New Roman" w:hAnsi="Times New Roman" w:cs="Times New Roman"/>
          <w:bCs/>
          <w:sz w:val="28"/>
          <w:szCs w:val="28"/>
          <w:lang w:eastAsia="ru-RU"/>
        </w:rPr>
        <w:t xml:space="preserve"> - себестоимость добычи полезного ископаемого открытым способом</w:t>
      </w:r>
      <w:r w:rsidRPr="00F67ADB">
        <w:rPr>
          <w:rFonts w:ascii="Times New Roman" w:eastAsia="Times New Roman" w:hAnsi="Times New Roman" w:cs="Times New Roman"/>
          <w:sz w:val="28"/>
          <w:szCs w:val="28"/>
          <w:lang w:eastAsia="ru-RU"/>
        </w:rPr>
        <w:t xml:space="preserve"> </w:t>
      </w:r>
      <w:r w:rsidRPr="00F67ADB">
        <w:rPr>
          <w:rFonts w:ascii="Times New Roman" w:eastAsia="Times New Roman" w:hAnsi="Times New Roman" w:cs="Times New Roman"/>
          <w:bCs/>
          <w:sz w:val="28"/>
          <w:szCs w:val="28"/>
          <w:lang w:eastAsia="ru-RU"/>
        </w:rPr>
        <w:t xml:space="preserve">без учета вскрышных работ, тенге/т; </w:t>
      </w: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proofErr w:type="spellStart"/>
      <w:r w:rsidRPr="00F67ADB">
        <w:rPr>
          <w:rFonts w:ascii="Times New Roman" w:eastAsia="Times New Roman" w:hAnsi="Times New Roman" w:cs="Times New Roman"/>
          <w:bCs/>
          <w:sz w:val="28"/>
          <w:szCs w:val="28"/>
          <w:lang w:eastAsia="ru-RU"/>
        </w:rPr>
        <w:t>С</w:t>
      </w:r>
      <w:r w:rsidRPr="00F67ADB">
        <w:rPr>
          <w:rFonts w:ascii="Times New Roman" w:eastAsia="Times New Roman" w:hAnsi="Times New Roman" w:cs="Times New Roman"/>
          <w:bCs/>
          <w:sz w:val="28"/>
          <w:szCs w:val="28"/>
          <w:vertAlign w:val="subscript"/>
          <w:lang w:eastAsia="ru-RU"/>
        </w:rPr>
        <w:t>в</w:t>
      </w:r>
      <w:proofErr w:type="spellEnd"/>
      <w:r w:rsidRPr="00F67ADB">
        <w:rPr>
          <w:rFonts w:ascii="Times New Roman" w:eastAsia="Times New Roman" w:hAnsi="Times New Roman" w:cs="Times New Roman"/>
          <w:bCs/>
          <w:sz w:val="28"/>
          <w:szCs w:val="28"/>
          <w:lang w:eastAsia="ru-RU"/>
        </w:rPr>
        <w:t xml:space="preserve"> – себестоимость вскрыши, тенге/т</w:t>
      </w: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m -  горизонтальная мощность рудного тела, м;</w:t>
      </w: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sym w:font="Symbol" w:char="F062"/>
      </w:r>
      <w:r w:rsidRPr="00F67ADB">
        <w:rPr>
          <w:rFonts w:ascii="Times New Roman" w:eastAsia="Times New Roman" w:hAnsi="Times New Roman" w:cs="Times New Roman"/>
          <w:bCs/>
          <w:sz w:val="28"/>
          <w:szCs w:val="28"/>
          <w:lang w:eastAsia="ru-RU"/>
        </w:rPr>
        <w:t xml:space="preserve"> и </w:t>
      </w:r>
      <w:r w:rsidRPr="00F67ADB">
        <w:rPr>
          <w:rFonts w:ascii="Times New Roman" w:eastAsia="Times New Roman" w:hAnsi="Times New Roman" w:cs="Times New Roman"/>
          <w:bCs/>
          <w:sz w:val="28"/>
          <w:szCs w:val="28"/>
          <w:lang w:eastAsia="ru-RU"/>
        </w:rPr>
        <w:sym w:font="Symbol" w:char="F067"/>
      </w:r>
      <w:r w:rsidRPr="00F67ADB">
        <w:rPr>
          <w:rFonts w:ascii="Times New Roman" w:eastAsia="Times New Roman" w:hAnsi="Times New Roman" w:cs="Times New Roman"/>
          <w:bCs/>
          <w:sz w:val="28"/>
          <w:szCs w:val="28"/>
          <w:lang w:eastAsia="ru-RU"/>
        </w:rPr>
        <w:t xml:space="preserve"> – средние углы откоса бортов карьера, соответственно в висячем и в </w:t>
      </w:r>
      <w:r w:rsidRPr="00F67ADB">
        <w:rPr>
          <w:rFonts w:ascii="Times New Roman" w:eastAsia="Times New Roman" w:hAnsi="Times New Roman" w:cs="Times New Roman"/>
          <w:bCs/>
          <w:sz w:val="28"/>
          <w:szCs w:val="28"/>
          <w:lang w:eastAsia="ru-RU"/>
        </w:rPr>
        <w:lastRenderedPageBreak/>
        <w:t>лежачем боках рудного тела.</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i/>
          <w:iCs/>
          <w:sz w:val="28"/>
          <w:szCs w:val="28"/>
          <w:lang w:eastAsia="ru-RU"/>
        </w:rPr>
      </w:pPr>
      <w:r w:rsidRPr="00F67ADB">
        <w:rPr>
          <w:rFonts w:ascii="Times New Roman" w:eastAsia="Times New Roman" w:hAnsi="Times New Roman" w:cs="Times New Roman"/>
          <w:i/>
          <w:iCs/>
          <w:sz w:val="28"/>
          <w:szCs w:val="28"/>
          <w:lang w:eastAsia="ru-RU"/>
        </w:rPr>
        <w:t>Формула П.И. Городецкого</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При угле падения залежи больше безопасного угла откоса карьера</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r>
        <w:rPr>
          <w:rFonts w:ascii="Arial" w:eastAsia="Times New Roman" w:hAnsi="Arial" w:cs="Arial"/>
          <w:sz w:val="20"/>
          <w:szCs w:val="20"/>
          <w:lang w:eastAsia="ru-RU"/>
        </w:rPr>
        <w:object w:dxaOrig="1440" w:dyaOrig="1440">
          <v:shape id="_x0000_s1028" type="#_x0000_t75" style="position:absolute;left:0;text-align:left;margin-left:175pt;margin-top:1.9pt;width:117pt;height:38pt;z-index:251658240">
            <v:imagedata r:id="rId8" o:title=""/>
          </v:shape>
          <o:OLEObject Type="Embed" ProgID="Equation.3" ShapeID="_x0000_s1028" DrawAspect="Content" ObjectID="_1641987806" r:id="rId9"/>
        </w:object>
      </w:r>
    </w:p>
    <w:p w:rsidR="0007239E" w:rsidRDefault="0007239E" w:rsidP="0007239E">
      <w:pPr>
        <w:widowControl w:val="0"/>
        <w:autoSpaceDE w:val="0"/>
        <w:autoSpaceDN w:val="0"/>
        <w:adjustRightInd w:val="0"/>
        <w:spacing w:after="0" w:line="240" w:lineRule="auto"/>
        <w:ind w:firstLine="709"/>
        <w:jc w:val="right"/>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 xml:space="preserve">                                                                                                             (3.2)</w:t>
      </w:r>
    </w:p>
    <w:p w:rsidR="0007239E" w:rsidRPr="00F67ADB" w:rsidRDefault="0007239E" w:rsidP="0007239E">
      <w:pPr>
        <w:widowControl w:val="0"/>
        <w:autoSpaceDE w:val="0"/>
        <w:autoSpaceDN w:val="0"/>
        <w:adjustRightInd w:val="0"/>
        <w:spacing w:after="0" w:line="240" w:lineRule="auto"/>
        <w:ind w:firstLine="709"/>
        <w:jc w:val="both"/>
        <w:rPr>
          <w:rFonts w:ascii="Times New Roman" w:eastAsia="Times New Roman" w:hAnsi="Times New Roman" w:cs="Times New Roman"/>
          <w:bCs/>
          <w:sz w:val="28"/>
          <w:szCs w:val="28"/>
          <w:lang w:eastAsia="ru-RU"/>
        </w:rPr>
      </w:pPr>
    </w:p>
    <w:p w:rsidR="0007239E" w:rsidRPr="00F67ADB" w:rsidRDefault="0007239E" w:rsidP="0007239E">
      <w:pPr>
        <w:widowControl w:val="0"/>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где  b</w:t>
      </w:r>
      <w:r w:rsidRPr="00F67ADB">
        <w:rPr>
          <w:rFonts w:ascii="Times New Roman" w:eastAsia="Times New Roman" w:hAnsi="Times New Roman" w:cs="Times New Roman"/>
          <w:bCs/>
          <w:sz w:val="28"/>
          <w:szCs w:val="28"/>
          <w:lang w:eastAsia="ru-RU"/>
        </w:rPr>
        <w:sym w:font="Symbol" w:char="F0A2"/>
      </w:r>
      <w:r w:rsidRPr="00F67ADB">
        <w:rPr>
          <w:rFonts w:ascii="Times New Roman" w:eastAsia="Times New Roman" w:hAnsi="Times New Roman" w:cs="Times New Roman"/>
          <w:bCs/>
          <w:sz w:val="28"/>
          <w:szCs w:val="28"/>
          <w:lang w:eastAsia="ru-RU"/>
        </w:rPr>
        <w:t xml:space="preserve"> - стоимость 1м</w:t>
      </w:r>
      <w:r w:rsidRPr="00F67ADB">
        <w:rPr>
          <w:rFonts w:ascii="Times New Roman" w:eastAsia="Times New Roman" w:hAnsi="Times New Roman" w:cs="Times New Roman"/>
          <w:bCs/>
          <w:sz w:val="28"/>
          <w:szCs w:val="28"/>
          <w:vertAlign w:val="superscript"/>
          <w:lang w:eastAsia="ru-RU"/>
        </w:rPr>
        <w:t>3</w:t>
      </w:r>
      <w:r w:rsidRPr="00F67ADB">
        <w:rPr>
          <w:rFonts w:ascii="Times New Roman" w:eastAsia="Times New Roman" w:hAnsi="Times New Roman" w:cs="Times New Roman"/>
          <w:bCs/>
          <w:sz w:val="28"/>
          <w:szCs w:val="28"/>
          <w:lang w:eastAsia="ru-RU"/>
        </w:rPr>
        <w:t xml:space="preserve"> вскрышных работ по наносам;</w:t>
      </w: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b - стоимость 1м</w:t>
      </w:r>
      <w:r w:rsidRPr="00F67ADB">
        <w:rPr>
          <w:rFonts w:ascii="Times New Roman" w:eastAsia="Times New Roman" w:hAnsi="Times New Roman" w:cs="Times New Roman"/>
          <w:bCs/>
          <w:sz w:val="28"/>
          <w:szCs w:val="28"/>
          <w:vertAlign w:val="superscript"/>
          <w:lang w:eastAsia="ru-RU"/>
        </w:rPr>
        <w:t>3</w:t>
      </w:r>
      <w:r w:rsidRPr="00F67ADB">
        <w:rPr>
          <w:rFonts w:ascii="Times New Roman" w:eastAsia="Times New Roman" w:hAnsi="Times New Roman" w:cs="Times New Roman"/>
          <w:bCs/>
          <w:sz w:val="28"/>
          <w:szCs w:val="28"/>
          <w:lang w:eastAsia="ru-RU"/>
        </w:rPr>
        <w:t xml:space="preserve"> вскрышных работ по коренным породам;</w:t>
      </w:r>
    </w:p>
    <w:p w:rsidR="0007239E" w:rsidRPr="00F67ADB" w:rsidRDefault="0007239E" w:rsidP="0007239E">
      <w:pPr>
        <w:widowControl w:val="0"/>
        <w:autoSpaceDE w:val="0"/>
        <w:autoSpaceDN w:val="0"/>
        <w:adjustRightInd w:val="0"/>
        <w:spacing w:after="0" w:line="240" w:lineRule="auto"/>
        <w:ind w:firstLine="454"/>
        <w:jc w:val="both"/>
        <w:rPr>
          <w:rFonts w:ascii="Times New Roman" w:eastAsia="Times New Roman" w:hAnsi="Times New Roman" w:cs="Times New Roman"/>
          <w:bCs/>
          <w:sz w:val="28"/>
          <w:szCs w:val="28"/>
          <w:lang w:eastAsia="ru-RU"/>
        </w:rPr>
      </w:pPr>
      <w:r w:rsidRPr="00F67ADB">
        <w:rPr>
          <w:rFonts w:ascii="Times New Roman" w:eastAsia="Times New Roman" w:hAnsi="Times New Roman" w:cs="Times New Roman"/>
          <w:bCs/>
          <w:sz w:val="28"/>
          <w:szCs w:val="28"/>
          <w:lang w:eastAsia="ru-RU"/>
        </w:rPr>
        <w:t>h - вертикальная мощность наносов, м.</w:t>
      </w:r>
    </w:p>
    <w:p w:rsidR="0007239E" w:rsidRPr="00F67ADB" w:rsidRDefault="0007239E" w:rsidP="0007239E">
      <w:pPr>
        <w:spacing w:after="0" w:line="240" w:lineRule="auto"/>
        <w:ind w:firstLine="709"/>
        <w:jc w:val="both"/>
        <w:rPr>
          <w:rFonts w:ascii="Times New Roman" w:hAnsi="Times New Roman" w:cs="Times New Roman"/>
          <w:sz w:val="28"/>
          <w:szCs w:val="28"/>
        </w:rPr>
      </w:pPr>
      <w:r w:rsidRPr="00F67ADB">
        <w:rPr>
          <w:rFonts w:ascii="Times New Roman" w:hAnsi="Times New Roman" w:cs="Times New Roman"/>
          <w:bCs/>
          <w:sz w:val="28"/>
          <w:szCs w:val="28"/>
        </w:rPr>
        <w:t xml:space="preserve">При угле падения залежи </w:t>
      </w:r>
      <w:r w:rsidRPr="00F67ADB">
        <w:rPr>
          <w:rFonts w:ascii="Times New Roman" w:hAnsi="Times New Roman" w:cs="Times New Roman"/>
          <w:bCs/>
          <w:sz w:val="28"/>
          <w:szCs w:val="28"/>
        </w:rPr>
        <w:sym w:font="Symbol" w:char="F061"/>
      </w:r>
      <w:r w:rsidRPr="00F67ADB">
        <w:rPr>
          <w:rFonts w:ascii="Times New Roman" w:hAnsi="Times New Roman" w:cs="Times New Roman"/>
          <w:bCs/>
          <w:i/>
          <w:sz w:val="28"/>
          <w:szCs w:val="28"/>
        </w:rPr>
        <w:t xml:space="preserve"> </w:t>
      </w:r>
      <w:r w:rsidRPr="00F67ADB">
        <w:rPr>
          <w:rFonts w:ascii="Times New Roman" w:hAnsi="Times New Roman" w:cs="Times New Roman"/>
          <w:bCs/>
          <w:sz w:val="28"/>
          <w:szCs w:val="28"/>
        </w:rPr>
        <w:t>меньше безопасного угла откоса карьера (вскрышные работы производят только со стороны висячего бока) в знаменателе</w:t>
      </w:r>
      <w:r w:rsidRPr="00F67ADB">
        <w:rPr>
          <w:rFonts w:ascii="Times New Roman" w:hAnsi="Times New Roman" w:cs="Times New Roman"/>
          <w:bCs/>
          <w:i/>
          <w:sz w:val="28"/>
          <w:szCs w:val="28"/>
        </w:rPr>
        <w:t xml:space="preserve"> </w:t>
      </w:r>
      <w:r w:rsidRPr="00F67ADB">
        <w:rPr>
          <w:rFonts w:ascii="Times New Roman" w:hAnsi="Times New Roman" w:cs="Times New Roman"/>
          <w:bCs/>
          <w:sz w:val="28"/>
          <w:szCs w:val="28"/>
        </w:rPr>
        <w:t>формулы (</w:t>
      </w:r>
      <w:r>
        <w:rPr>
          <w:rFonts w:ascii="Times New Roman" w:hAnsi="Times New Roman" w:cs="Times New Roman"/>
          <w:bCs/>
          <w:sz w:val="28"/>
          <w:szCs w:val="28"/>
        </w:rPr>
        <w:t>3.</w:t>
      </w:r>
      <w:r w:rsidRPr="00F67ADB">
        <w:rPr>
          <w:rFonts w:ascii="Times New Roman" w:hAnsi="Times New Roman" w:cs="Times New Roman"/>
          <w:bCs/>
          <w:sz w:val="28"/>
          <w:szCs w:val="28"/>
        </w:rPr>
        <w:t>2)</w:t>
      </w:r>
      <w:r w:rsidRPr="00F67ADB">
        <w:rPr>
          <w:rFonts w:ascii="Times New Roman" w:hAnsi="Times New Roman" w:cs="Times New Roman"/>
          <w:bCs/>
          <w:i/>
          <w:sz w:val="28"/>
          <w:szCs w:val="28"/>
        </w:rPr>
        <w:t xml:space="preserve"> </w:t>
      </w:r>
      <w:proofErr w:type="spellStart"/>
      <w:r w:rsidRPr="00F67ADB">
        <w:rPr>
          <w:rFonts w:ascii="Times New Roman" w:hAnsi="Times New Roman" w:cs="Times New Roman"/>
          <w:bCs/>
          <w:sz w:val="28"/>
          <w:szCs w:val="28"/>
        </w:rPr>
        <w:t>ctg</w:t>
      </w:r>
      <w:proofErr w:type="spellEnd"/>
      <w:r w:rsidRPr="00F67ADB">
        <w:rPr>
          <w:rFonts w:ascii="Times New Roman" w:hAnsi="Times New Roman" w:cs="Times New Roman"/>
          <w:bCs/>
          <w:sz w:val="28"/>
          <w:szCs w:val="28"/>
        </w:rPr>
        <w:t xml:space="preserve"> </w:t>
      </w:r>
      <w:r w:rsidRPr="00F67ADB">
        <w:rPr>
          <w:rFonts w:ascii="Times New Roman" w:hAnsi="Times New Roman" w:cs="Times New Roman"/>
          <w:bCs/>
          <w:sz w:val="28"/>
          <w:szCs w:val="28"/>
        </w:rPr>
        <w:sym w:font="Symbol" w:char="F067"/>
      </w:r>
      <w:r w:rsidRPr="00F67ADB">
        <w:rPr>
          <w:rFonts w:ascii="Times New Roman" w:hAnsi="Times New Roman" w:cs="Times New Roman"/>
          <w:bCs/>
          <w:i/>
          <w:sz w:val="28"/>
          <w:szCs w:val="28"/>
        </w:rPr>
        <w:t xml:space="preserve"> </w:t>
      </w:r>
      <w:r w:rsidRPr="00F67ADB">
        <w:rPr>
          <w:rFonts w:ascii="Times New Roman" w:hAnsi="Times New Roman" w:cs="Times New Roman"/>
          <w:bCs/>
          <w:sz w:val="28"/>
          <w:szCs w:val="28"/>
        </w:rPr>
        <w:t>заменяется</w:t>
      </w:r>
      <w:r w:rsidRPr="00F67ADB">
        <w:rPr>
          <w:rFonts w:ascii="Times New Roman" w:hAnsi="Times New Roman" w:cs="Times New Roman"/>
          <w:bCs/>
          <w:i/>
          <w:sz w:val="28"/>
          <w:szCs w:val="28"/>
        </w:rPr>
        <w:t xml:space="preserve"> </w:t>
      </w:r>
      <w:proofErr w:type="spellStart"/>
      <w:r w:rsidRPr="00F67ADB">
        <w:rPr>
          <w:rFonts w:ascii="Times New Roman" w:hAnsi="Times New Roman" w:cs="Times New Roman"/>
          <w:bCs/>
          <w:sz w:val="28"/>
          <w:szCs w:val="28"/>
        </w:rPr>
        <w:t>ctg</w:t>
      </w:r>
      <w:proofErr w:type="spellEnd"/>
      <w:r w:rsidRPr="00F67ADB">
        <w:rPr>
          <w:rFonts w:ascii="Times New Roman" w:hAnsi="Times New Roman" w:cs="Times New Roman"/>
          <w:bCs/>
          <w:sz w:val="28"/>
          <w:szCs w:val="28"/>
        </w:rPr>
        <w:t xml:space="preserve"> </w:t>
      </w:r>
      <w:r w:rsidRPr="00F67ADB">
        <w:rPr>
          <w:rFonts w:ascii="Times New Roman" w:hAnsi="Times New Roman" w:cs="Times New Roman"/>
          <w:bCs/>
          <w:sz w:val="28"/>
          <w:szCs w:val="28"/>
        </w:rPr>
        <w:sym w:font="Symbol" w:char="F061"/>
      </w:r>
      <w:r w:rsidRPr="00F67ADB">
        <w:rPr>
          <w:rFonts w:ascii="Times New Roman" w:hAnsi="Times New Roman" w:cs="Times New Roman"/>
          <w:bCs/>
          <w:sz w:val="28"/>
          <w:szCs w:val="28"/>
        </w:rPr>
        <w:t>.</w:t>
      </w:r>
    </w:p>
    <w:p w:rsidR="0007239E" w:rsidRPr="00F67ADB" w:rsidRDefault="0007239E" w:rsidP="0007239E">
      <w:pPr>
        <w:spacing w:after="0" w:line="240" w:lineRule="auto"/>
        <w:ind w:firstLine="709"/>
        <w:jc w:val="both"/>
        <w:rPr>
          <w:rFonts w:ascii="Times New Roman" w:eastAsia="Times New Roman" w:hAnsi="Times New Roman" w:cs="Arial"/>
          <w:b/>
          <w:sz w:val="28"/>
          <w:szCs w:val="28"/>
          <w:lang w:eastAsia="ru-RU"/>
        </w:rPr>
      </w:pPr>
    </w:p>
    <w:p w:rsidR="0007239E" w:rsidRPr="0007239E" w:rsidRDefault="0007239E" w:rsidP="0007239E">
      <w:pPr>
        <w:spacing w:after="0" w:line="240" w:lineRule="auto"/>
        <w:ind w:firstLine="709"/>
        <w:jc w:val="both"/>
        <w:rPr>
          <w:rFonts w:ascii="Times New Roman" w:hAnsi="Times New Roman" w:cs="Times New Roman"/>
          <w:sz w:val="28"/>
          <w:szCs w:val="28"/>
        </w:rPr>
      </w:pPr>
    </w:p>
    <w:sectPr w:rsidR="0007239E" w:rsidRPr="000723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39E"/>
    <w:rsid w:val="0007239E"/>
    <w:rsid w:val="00A443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E23686D"/>
  <w15:chartTrackingRefBased/>
  <w15:docId w15:val="{4A102864-3957-4B88-A7D5-30D85BE2F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403</Words>
  <Characters>2298</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2020-01-31T08:55:00Z</dcterms:created>
  <dcterms:modified xsi:type="dcterms:W3CDTF">2020-01-31T08:57:00Z</dcterms:modified>
</cp:coreProperties>
</file>